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8C" w:rsidRPr="00F91A04" w:rsidRDefault="007E1F8C" w:rsidP="007E1F8C">
      <w:pPr>
        <w:spacing w:before="100" w:beforeAutospacing="1" w:after="100" w:afterAutospacing="1" w:line="240" w:lineRule="auto"/>
        <w:jc w:val="center"/>
        <w:outlineLvl w:val="1"/>
        <w:rPr>
          <w:rFonts w:asciiTheme="majorHAnsi" w:eastAsia="Times New Roman" w:hAnsiTheme="majorHAnsi" w:cs="Times New Roman"/>
          <w:b/>
          <w:bCs/>
          <w:sz w:val="24"/>
          <w:szCs w:val="24"/>
        </w:rPr>
      </w:pPr>
      <w:r w:rsidRPr="00F91A04">
        <w:rPr>
          <w:rFonts w:asciiTheme="majorHAnsi" w:eastAsia="Times New Roman" w:hAnsiTheme="majorHAnsi" w:cs="Times New Roman"/>
          <w:b/>
          <w:bCs/>
          <w:sz w:val="24"/>
          <w:szCs w:val="24"/>
        </w:rPr>
        <w:t>“The White Man’s Burden”</w:t>
      </w:r>
    </w:p>
    <w:p w:rsidR="007E1F8C" w:rsidRPr="00F91A04" w:rsidRDefault="007E1F8C" w:rsidP="007E1F8C">
      <w:pPr>
        <w:spacing w:before="100" w:beforeAutospacing="1" w:after="100" w:afterAutospacing="1" w:line="240" w:lineRule="auto"/>
        <w:jc w:val="center"/>
        <w:outlineLvl w:val="1"/>
        <w:rPr>
          <w:rFonts w:asciiTheme="majorHAnsi" w:eastAsia="Times New Roman" w:hAnsiTheme="majorHAnsi" w:cs="Times New Roman"/>
          <w:b/>
          <w:bCs/>
          <w:sz w:val="24"/>
          <w:szCs w:val="24"/>
        </w:rPr>
      </w:pPr>
      <w:r w:rsidRPr="00F91A04">
        <w:rPr>
          <w:rFonts w:asciiTheme="majorHAnsi" w:eastAsia="Times New Roman" w:hAnsiTheme="majorHAnsi" w:cs="Times New Roman"/>
          <w:b/>
          <w:bCs/>
          <w:sz w:val="24"/>
          <w:szCs w:val="24"/>
        </w:rPr>
        <w:t>Kipling’s Hymn to U.S. Imperialism</w:t>
      </w:r>
    </w:p>
    <w:p w:rsidR="007E1F8C" w:rsidRPr="00F91A04" w:rsidRDefault="007E1F8C" w:rsidP="007E1F8C">
      <w:pPr>
        <w:spacing w:before="100" w:beforeAutospacing="1" w:after="100" w:afterAutospacing="1"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sz w:val="24"/>
          <w:szCs w:val="24"/>
        </w:rPr>
        <w:t xml:space="preserve">In February 1899, British novelist and poet Rudyard Kipling wrote a poem entitled “The White Man’s Burden: The United States and The Philippine Islands.” In this poem, Kipling urged the U.S. to take up the “burden” of empire, as had Britain and other European nations. Published in the </w:t>
      </w:r>
      <w:proofErr w:type="gramStart"/>
      <w:r w:rsidRPr="00F91A04">
        <w:rPr>
          <w:rFonts w:asciiTheme="majorHAnsi" w:eastAsia="Times New Roman" w:hAnsiTheme="majorHAnsi" w:cs="Times New Roman"/>
          <w:sz w:val="24"/>
          <w:szCs w:val="24"/>
        </w:rPr>
        <w:t>February,</w:t>
      </w:r>
      <w:proofErr w:type="gramEnd"/>
      <w:r w:rsidRPr="00F91A04">
        <w:rPr>
          <w:rFonts w:asciiTheme="majorHAnsi" w:eastAsia="Times New Roman" w:hAnsiTheme="majorHAnsi" w:cs="Times New Roman"/>
          <w:sz w:val="24"/>
          <w:szCs w:val="24"/>
        </w:rPr>
        <w:t xml:space="preserve"> 1899 issue of </w:t>
      </w:r>
      <w:r w:rsidRPr="00F91A04">
        <w:rPr>
          <w:rFonts w:asciiTheme="majorHAnsi" w:eastAsia="Times New Roman" w:hAnsiTheme="majorHAnsi" w:cs="Times New Roman"/>
          <w:i/>
          <w:iCs/>
          <w:sz w:val="24"/>
          <w:szCs w:val="24"/>
        </w:rPr>
        <w:t>McClure’s Magazine</w:t>
      </w:r>
      <w:r w:rsidRPr="00F91A04">
        <w:rPr>
          <w:rFonts w:asciiTheme="majorHAnsi" w:eastAsia="Times New Roman" w:hAnsiTheme="majorHAnsi" w:cs="Times New Roman"/>
          <w:sz w:val="24"/>
          <w:szCs w:val="24"/>
        </w:rPr>
        <w:t xml:space="preserve">, the poem coincided with the beginning of the Philippine-American War and U.S. Senate ratification of the treaty that placed Puerto Rico, Guam, Cuba, and the Philippines under American control. Theodore Roosevelt, soon to become vice-president and then president, copied the poem and sent it to his friend, Senator Henry Cabot Lodge, commenting that it was “rather poor poetry, but good sense from the expansion point of view.” Not everyone was as favorably impressed as Roosevelt. The racialized notion of the “White Man’s burden” became a euphemism for imperialism, and many anti-imperialists couched their opposition in reaction to the phrase. </w:t>
      </w:r>
    </w:p>
    <w:p w:rsidR="007E1F8C" w:rsidRPr="00F91A04" w:rsidRDefault="00F91A04" w:rsidP="007E1F8C">
      <w:pPr>
        <w:spacing w:after="0"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sz w:val="24"/>
          <w:szCs w:val="24"/>
        </w:rPr>
        <w:pict>
          <v:rect id="_x0000_i1025" style="width:0;height:1.5pt" o:hralign="center" o:hrstd="t" o:hr="t" fillcolor="#a0a0a0" stroked="f"/>
        </w:pict>
      </w:r>
    </w:p>
    <w:p w:rsidR="007E1F8C" w:rsidRPr="00F91A04" w:rsidRDefault="007E1F8C" w:rsidP="007E1F8C">
      <w:pPr>
        <w:spacing w:after="100" w:afterAutospacing="1"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sz w:val="24"/>
          <w:szCs w:val="24"/>
        </w:rPr>
        <w:t>Take up the White Man’s burden—</w:t>
      </w:r>
    </w:p>
    <w:p w:rsidR="007E1F8C" w:rsidRPr="00F91A04" w:rsidRDefault="007E1F8C" w:rsidP="007E1F8C">
      <w:pPr>
        <w:spacing w:after="100" w:afterAutospacing="1"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sz w:val="24"/>
          <w:szCs w:val="24"/>
        </w:rPr>
        <w:t>Send forth the best ye breed—</w:t>
      </w:r>
    </w:p>
    <w:p w:rsidR="007E1F8C" w:rsidRPr="00F91A04" w:rsidRDefault="007E1F8C" w:rsidP="007E1F8C">
      <w:pPr>
        <w:spacing w:after="100" w:afterAutospacing="1"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sz w:val="24"/>
          <w:szCs w:val="24"/>
        </w:rPr>
        <w:t>Go send your sons to exile</w:t>
      </w:r>
    </w:p>
    <w:p w:rsidR="007E1F8C" w:rsidRPr="00F91A04" w:rsidRDefault="007E1F8C" w:rsidP="007E1F8C">
      <w:pPr>
        <w:spacing w:after="100" w:afterAutospacing="1"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sz w:val="24"/>
          <w:szCs w:val="24"/>
        </w:rPr>
        <w:t>To serve your captives' need</w:t>
      </w:r>
    </w:p>
    <w:p w:rsidR="007E1F8C" w:rsidRPr="00F91A04" w:rsidRDefault="007E1F8C" w:rsidP="007E1F8C">
      <w:pPr>
        <w:spacing w:after="100" w:afterAutospacing="1" w:line="240" w:lineRule="auto"/>
        <w:rPr>
          <w:rFonts w:asciiTheme="majorHAnsi" w:eastAsia="Times New Roman" w:hAnsiTheme="majorHAnsi" w:cs="Times New Roman"/>
          <w:i/>
          <w:sz w:val="24"/>
          <w:szCs w:val="24"/>
        </w:rPr>
      </w:pPr>
      <w:r w:rsidRPr="00F91A04">
        <w:rPr>
          <w:rFonts w:asciiTheme="majorHAnsi" w:eastAsia="Times New Roman" w:hAnsiTheme="majorHAnsi" w:cs="Times New Roman"/>
          <w:i/>
          <w:sz w:val="24"/>
          <w:szCs w:val="24"/>
        </w:rPr>
        <w:t>To wait in heavy harness</w:t>
      </w:r>
      <w:bookmarkStart w:id="0" w:name="_GoBack"/>
      <w:bookmarkEnd w:id="0"/>
    </w:p>
    <w:p w:rsidR="007E1F8C" w:rsidRPr="00F91A04" w:rsidRDefault="007E1F8C" w:rsidP="007E1F8C">
      <w:pPr>
        <w:spacing w:after="100" w:afterAutospacing="1" w:line="240" w:lineRule="auto"/>
        <w:rPr>
          <w:rFonts w:asciiTheme="majorHAnsi" w:eastAsia="Times New Roman" w:hAnsiTheme="majorHAnsi" w:cs="Times New Roman"/>
          <w:i/>
          <w:sz w:val="24"/>
          <w:szCs w:val="24"/>
        </w:rPr>
      </w:pPr>
      <w:r w:rsidRPr="00F91A04">
        <w:rPr>
          <w:rFonts w:asciiTheme="majorHAnsi" w:eastAsia="Times New Roman" w:hAnsiTheme="majorHAnsi" w:cs="Times New Roman"/>
          <w:i/>
          <w:sz w:val="24"/>
          <w:szCs w:val="24"/>
        </w:rPr>
        <w:t>On fluttered folk and wild—</w:t>
      </w:r>
    </w:p>
    <w:p w:rsidR="007E1F8C" w:rsidRPr="00F91A04" w:rsidRDefault="007E1F8C" w:rsidP="007E1F8C">
      <w:pPr>
        <w:spacing w:after="100" w:afterAutospacing="1" w:line="240" w:lineRule="auto"/>
        <w:rPr>
          <w:rFonts w:asciiTheme="majorHAnsi" w:eastAsia="Times New Roman" w:hAnsiTheme="majorHAnsi" w:cs="Times New Roman"/>
          <w:i/>
          <w:sz w:val="24"/>
          <w:szCs w:val="24"/>
        </w:rPr>
      </w:pPr>
      <w:r w:rsidRPr="00F91A04">
        <w:rPr>
          <w:rFonts w:asciiTheme="majorHAnsi" w:eastAsia="Times New Roman" w:hAnsiTheme="majorHAnsi" w:cs="Times New Roman"/>
          <w:i/>
          <w:sz w:val="24"/>
          <w:szCs w:val="24"/>
        </w:rPr>
        <w:t>Your new-caught, sullen peoples,</w:t>
      </w:r>
    </w:p>
    <w:p w:rsidR="007E1F8C" w:rsidRPr="00F91A04" w:rsidRDefault="007E1F8C" w:rsidP="007E1F8C">
      <w:pPr>
        <w:spacing w:after="100" w:afterAutospacing="1"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i/>
          <w:sz w:val="24"/>
          <w:szCs w:val="24"/>
        </w:rPr>
        <w:t>Half devil and half child</w:t>
      </w:r>
    </w:p>
    <w:p w:rsidR="007E1F8C" w:rsidRPr="00F91A04" w:rsidRDefault="007E1F8C" w:rsidP="007E1F8C">
      <w:pPr>
        <w:spacing w:after="100" w:afterAutospacing="1" w:line="240" w:lineRule="auto"/>
        <w:rPr>
          <w:rFonts w:asciiTheme="majorHAnsi" w:eastAsia="Times New Roman" w:hAnsiTheme="majorHAnsi" w:cs="Times New Roman"/>
          <w:sz w:val="24"/>
          <w:szCs w:val="24"/>
        </w:rPr>
      </w:pPr>
      <w:r w:rsidRPr="00F91A04">
        <w:rPr>
          <w:rFonts w:asciiTheme="majorHAnsi" w:eastAsia="Times New Roman" w:hAnsiTheme="majorHAnsi" w:cs="Times New Roman"/>
          <w:sz w:val="24"/>
          <w:szCs w:val="24"/>
        </w:rPr>
        <w:t xml:space="preserve">Excerpt Source: Rudyard Kipling, “The White Man’s Burden: The United States &amp; </w:t>
      </w:r>
      <w:proofErr w:type="gramStart"/>
      <w:r w:rsidRPr="00F91A04">
        <w:rPr>
          <w:rFonts w:asciiTheme="majorHAnsi" w:eastAsia="Times New Roman" w:hAnsiTheme="majorHAnsi" w:cs="Times New Roman"/>
          <w:sz w:val="24"/>
          <w:szCs w:val="24"/>
        </w:rPr>
        <w:t>The</w:t>
      </w:r>
      <w:proofErr w:type="gramEnd"/>
      <w:r w:rsidRPr="00F91A04">
        <w:rPr>
          <w:rFonts w:asciiTheme="majorHAnsi" w:eastAsia="Times New Roman" w:hAnsiTheme="majorHAnsi" w:cs="Times New Roman"/>
          <w:sz w:val="24"/>
          <w:szCs w:val="24"/>
        </w:rPr>
        <w:t xml:space="preserve"> Philippine Islands, 1899.” </w:t>
      </w:r>
      <w:proofErr w:type="gramStart"/>
      <w:r w:rsidRPr="00F91A04">
        <w:rPr>
          <w:rFonts w:asciiTheme="majorHAnsi" w:eastAsia="Times New Roman" w:hAnsiTheme="majorHAnsi" w:cs="Times New Roman"/>
          <w:i/>
          <w:iCs/>
          <w:sz w:val="24"/>
          <w:szCs w:val="24"/>
        </w:rPr>
        <w:t xml:space="preserve">Rudyard Kipling’s Verse: Definitive Edition </w:t>
      </w:r>
      <w:r w:rsidRPr="00F91A04">
        <w:rPr>
          <w:rFonts w:asciiTheme="majorHAnsi" w:eastAsia="Times New Roman" w:hAnsiTheme="majorHAnsi" w:cs="Times New Roman"/>
          <w:sz w:val="24"/>
          <w:szCs w:val="24"/>
        </w:rPr>
        <w:t>(Garden City, New York: Doubleday, 1929).</w:t>
      </w:r>
      <w:proofErr w:type="gramEnd"/>
    </w:p>
    <w:p w:rsidR="00CF787A" w:rsidRPr="00F91A04" w:rsidRDefault="00CF787A">
      <w:pPr>
        <w:rPr>
          <w:rFonts w:asciiTheme="majorHAnsi" w:hAnsiTheme="majorHAnsi"/>
          <w:sz w:val="24"/>
          <w:szCs w:val="24"/>
        </w:rPr>
      </w:pPr>
    </w:p>
    <w:sectPr w:rsidR="00CF787A" w:rsidRPr="00F9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7D"/>
    <w:rsid w:val="0045647D"/>
    <w:rsid w:val="007E1F8C"/>
    <w:rsid w:val="00CF787A"/>
    <w:rsid w:val="00F9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Gorhams</cp:lastModifiedBy>
  <cp:revision>5</cp:revision>
  <cp:lastPrinted>2014-10-08T13:09:00Z</cp:lastPrinted>
  <dcterms:created xsi:type="dcterms:W3CDTF">2014-10-08T13:05:00Z</dcterms:created>
  <dcterms:modified xsi:type="dcterms:W3CDTF">2015-10-02T12:22:00Z</dcterms:modified>
</cp:coreProperties>
</file>